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2.考试前14天本人无境外、国内中高风险区的活动轨迹。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3.考试前14天本人没有与从境外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28"/>
          <w:szCs w:val="28"/>
        </w:rPr>
        <w:t>吉林省吉林市等政府最新发布出现新增病例的地区（适时调整）的人员有密切接触。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5.进入考场后，本人严格遵守各项防控管理的相关规定。</w:t>
      </w:r>
    </w:p>
    <w:p>
      <w:pPr>
        <w:spacing w:line="560" w:lineRule="exact"/>
        <w:ind w:firstLine="638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将由本人承担相关法律责任。</w:t>
      </w:r>
    </w:p>
    <w:p>
      <w:pPr>
        <w:spacing w:line="360" w:lineRule="auto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auto"/>
        <w:ind w:firstLine="4736" w:firstLineChars="1685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签字：</w:t>
      </w:r>
    </w:p>
    <w:p>
      <w:pPr>
        <w:spacing w:line="360" w:lineRule="auto"/>
        <w:ind w:firstLine="4779" w:firstLineChars="17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0BBD5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南国人力集团</cp:lastModifiedBy>
  <cp:lastPrinted>2020-05-19T01:09:00Z</cp:lastPrinted>
  <dcterms:modified xsi:type="dcterms:W3CDTF">2020-06-10T11:30:47Z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_DocHome">
    <vt:r8>-2094434265</vt:r8>
  </property>
</Properties>
</file>